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2742" w14:textId="3C059CB9" w:rsidR="009166C0" w:rsidRDefault="009166C0"/>
    <w:p w14:paraId="004E4ECF" w14:textId="77777777" w:rsidR="001F3755" w:rsidRDefault="001F3755" w:rsidP="001F3755">
      <w:pPr>
        <w:rPr>
          <w:rFonts w:ascii="Roboto" w:eastAsia="Times New Roman" w:hAnsi="Roboto"/>
          <w:color w:val="000000"/>
          <w:sz w:val="27"/>
          <w:szCs w:val="27"/>
        </w:rPr>
      </w:pPr>
      <w:r>
        <w:rPr>
          <w:rFonts w:ascii="Poppins" w:eastAsia="Times New Roman" w:hAnsi="Poppins" w:cs="Poppins"/>
          <w:b/>
          <w:bCs/>
          <w:color w:val="21368B"/>
          <w:sz w:val="30"/>
          <w:szCs w:val="30"/>
        </w:rPr>
        <w:t>Szanowni</w:t>
      </w:r>
      <w:r>
        <w:rPr>
          <w:rFonts w:ascii="Poppins" w:eastAsia="Times New Roman" w:hAnsi="Poppins" w:cs="Poppins"/>
          <w:color w:val="21368B"/>
          <w:sz w:val="30"/>
          <w:szCs w:val="30"/>
        </w:rPr>
        <w:t> </w:t>
      </w:r>
      <w:r>
        <w:rPr>
          <w:rFonts w:ascii="Poppins" w:eastAsia="Times New Roman" w:hAnsi="Poppins" w:cs="Poppins"/>
          <w:b/>
          <w:bCs/>
          <w:color w:val="21368B"/>
          <w:sz w:val="30"/>
          <w:szCs w:val="30"/>
        </w:rPr>
        <w:t>Państwo,</w:t>
      </w:r>
    </w:p>
    <w:p w14:paraId="5731FF2A" w14:textId="77777777" w:rsidR="001F3755" w:rsidRDefault="001F3755" w:rsidP="001F3755">
      <w:pPr>
        <w:rPr>
          <w:rFonts w:ascii="Roboto" w:eastAsia="Times New Roman" w:hAnsi="Roboto"/>
          <w:color w:val="000000"/>
          <w:sz w:val="27"/>
          <w:szCs w:val="27"/>
        </w:rPr>
      </w:pPr>
    </w:p>
    <w:p w14:paraId="3416CF4B" w14:textId="77777777" w:rsidR="001F3755" w:rsidRDefault="001F3755" w:rsidP="001F3755">
      <w:pPr>
        <w:rPr>
          <w:rFonts w:ascii="Roboto" w:eastAsia="Times New Roman" w:hAnsi="Roboto"/>
          <w:color w:val="000000"/>
          <w:sz w:val="27"/>
          <w:szCs w:val="27"/>
        </w:rPr>
      </w:pPr>
      <w:r>
        <w:rPr>
          <w:rFonts w:ascii="Roboto" w:eastAsia="Times New Roman" w:hAnsi="Roboto"/>
          <w:color w:val="21368B"/>
          <w:sz w:val="23"/>
          <w:szCs w:val="23"/>
        </w:rPr>
        <w:t>W związku ze zbliżającym się terminem wyboru ubezpieczenia od </w:t>
      </w:r>
      <w:r>
        <w:rPr>
          <w:rFonts w:ascii="Roboto" w:eastAsia="Times New Roman" w:hAnsi="Roboto"/>
          <w:b/>
          <w:bCs/>
          <w:color w:val="21368B"/>
          <w:sz w:val="23"/>
          <w:szCs w:val="23"/>
        </w:rPr>
        <w:t>NNW</w:t>
      </w:r>
      <w:r>
        <w:rPr>
          <w:rFonts w:ascii="Roboto" w:eastAsia="Times New Roman" w:hAnsi="Roboto"/>
          <w:color w:val="21368B"/>
          <w:sz w:val="23"/>
          <w:szCs w:val="23"/>
        </w:rPr>
        <w:t> dzieci i młodzieży na nowy rok szkolny </w:t>
      </w:r>
      <w:r>
        <w:rPr>
          <w:rFonts w:ascii="Roboto" w:eastAsia="Times New Roman" w:hAnsi="Roboto"/>
          <w:b/>
          <w:bCs/>
          <w:color w:val="21368B"/>
          <w:sz w:val="23"/>
          <w:szCs w:val="23"/>
        </w:rPr>
        <w:t>2022/2023</w:t>
      </w:r>
      <w:r>
        <w:rPr>
          <w:rFonts w:ascii="Roboto" w:eastAsia="Times New Roman" w:hAnsi="Roboto"/>
          <w:color w:val="21368B"/>
          <w:sz w:val="23"/>
          <w:szCs w:val="23"/>
        </w:rPr>
        <w:t>, w załączeniu przesyłamy oferty z szerokim zakresem ubezpieczenia i konkurencyjną składką. Zapewniają one kompleksową ochronę </w:t>
      </w:r>
      <w:r>
        <w:rPr>
          <w:rFonts w:ascii="Roboto" w:eastAsia="Times New Roman" w:hAnsi="Roboto"/>
          <w:b/>
          <w:bCs/>
          <w:color w:val="21368B"/>
          <w:sz w:val="23"/>
          <w:szCs w:val="23"/>
        </w:rPr>
        <w:t>24/7</w:t>
      </w:r>
      <w:r>
        <w:rPr>
          <w:rFonts w:ascii="Roboto" w:eastAsia="Times New Roman" w:hAnsi="Roboto"/>
          <w:color w:val="21368B"/>
          <w:sz w:val="23"/>
          <w:szCs w:val="23"/>
        </w:rPr>
        <w:t> w szkole, w domu, na zajęciach pozalekcyjnych, podczas wakacji, ferii, wyjazdów oraz w życiu prywatnym.</w:t>
      </w:r>
    </w:p>
    <w:p w14:paraId="6A1B3AB9" w14:textId="77777777" w:rsidR="001F3755" w:rsidRDefault="001F3755" w:rsidP="001F3755">
      <w:pPr>
        <w:rPr>
          <w:rFonts w:ascii="Roboto" w:eastAsia="Times New Roman" w:hAnsi="Roboto"/>
          <w:color w:val="000000"/>
          <w:sz w:val="27"/>
          <w:szCs w:val="27"/>
        </w:rPr>
      </w:pPr>
      <w:r>
        <w:rPr>
          <w:rFonts w:ascii="Roboto" w:eastAsia="Times New Roman" w:hAnsi="Roboto"/>
          <w:color w:val="000000"/>
          <w:sz w:val="27"/>
          <w:szCs w:val="27"/>
        </w:rPr>
        <w:t>  </w:t>
      </w:r>
    </w:p>
    <w:p w14:paraId="31A8BA2D" w14:textId="77777777" w:rsidR="001F3755" w:rsidRDefault="001F3755" w:rsidP="001F3755">
      <w:pPr>
        <w:pStyle w:val="Nagwek2"/>
        <w:pBdr>
          <w:bottom w:val="single" w:sz="12" w:space="0" w:color="21368B"/>
        </w:pBdr>
        <w:spacing w:before="0" w:beforeAutospacing="0" w:line="312" w:lineRule="atLeast"/>
        <w:rPr>
          <w:rFonts w:ascii="Poppins" w:eastAsia="Times New Roman" w:hAnsi="Poppins" w:cs="Poppins"/>
          <w:color w:val="21368B"/>
          <w:sz w:val="45"/>
          <w:szCs w:val="45"/>
        </w:rPr>
      </w:pPr>
      <w:r>
        <w:rPr>
          <w:rFonts w:ascii="Poppins" w:eastAsia="Times New Roman" w:hAnsi="Poppins" w:cs="Poppins"/>
          <w:color w:val="21368B"/>
          <w:sz w:val="45"/>
          <w:szCs w:val="45"/>
        </w:rPr>
        <w:t xml:space="preserve">Oferta TU </w:t>
      </w:r>
      <w:proofErr w:type="spellStart"/>
      <w:r>
        <w:rPr>
          <w:rFonts w:ascii="Poppins" w:eastAsia="Times New Roman" w:hAnsi="Poppins" w:cs="Poppins"/>
          <w:color w:val="21368B"/>
          <w:sz w:val="45"/>
          <w:szCs w:val="45"/>
        </w:rPr>
        <w:t>Interrisk</w:t>
      </w:r>
      <w:proofErr w:type="spellEnd"/>
    </w:p>
    <w:p w14:paraId="30FB2A90" w14:textId="77777777" w:rsidR="001F3755" w:rsidRDefault="001F3755" w:rsidP="001F3755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Wysokie świadczenia za pobyt w szpitalu (do 225 zł/dzień), także w przypadku zachorowania na </w:t>
      </w:r>
      <w:r>
        <w:rPr>
          <w:rFonts w:ascii="Poppins" w:eastAsia="Times New Roman" w:hAnsi="Poppins" w:cs="Poppins"/>
          <w:b/>
          <w:bCs/>
          <w:color w:val="21368B"/>
          <w:sz w:val="23"/>
          <w:szCs w:val="23"/>
        </w:rPr>
        <w:t>Covid-19</w:t>
      </w:r>
    </w:p>
    <w:p w14:paraId="2E9CA477" w14:textId="77777777" w:rsidR="001F3755" w:rsidRDefault="001F3755" w:rsidP="001F3755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Wyczynowe uprawianie sportu w cenie</w:t>
      </w:r>
    </w:p>
    <w:p w14:paraId="4A5E2E04" w14:textId="77777777" w:rsidR="001F3755" w:rsidRDefault="001F3755" w:rsidP="001F3755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b/>
          <w:bCs/>
          <w:color w:val="21368B"/>
          <w:sz w:val="23"/>
          <w:szCs w:val="23"/>
        </w:rPr>
        <w:t>Pakiet kleszcz</w:t>
      </w:r>
      <w:r>
        <w:rPr>
          <w:rFonts w:ascii="Poppins" w:eastAsia="Times New Roman" w:hAnsi="Poppins" w:cs="Poppins"/>
          <w:color w:val="21368B"/>
          <w:sz w:val="23"/>
          <w:szCs w:val="23"/>
        </w:rPr>
        <w:t> i rozpoznanie boreliozy</w:t>
      </w:r>
    </w:p>
    <w:p w14:paraId="1A181F8E" w14:textId="77777777" w:rsidR="001F3755" w:rsidRDefault="001F3755" w:rsidP="001F3755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Świadczenie „bólowe”, nawet w przypadku skręcenia czy zwichnięcia</w:t>
      </w:r>
    </w:p>
    <w:p w14:paraId="2A7F44BB" w14:textId="77777777" w:rsidR="001F3755" w:rsidRDefault="001F3755" w:rsidP="001F3755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Zwrot kosztów leczenia, rehabilitacji, odbudowy zębów oraz zakupu leków w większości wariantów aż do </w:t>
      </w:r>
      <w:r>
        <w:rPr>
          <w:rFonts w:ascii="Poppins" w:eastAsia="Times New Roman" w:hAnsi="Poppins" w:cs="Poppins"/>
          <w:b/>
          <w:bCs/>
          <w:color w:val="21368B"/>
          <w:sz w:val="23"/>
          <w:szCs w:val="23"/>
        </w:rPr>
        <w:t>2 000 zł</w:t>
      </w:r>
      <w:r>
        <w:rPr>
          <w:rFonts w:ascii="Poppins" w:eastAsia="Times New Roman" w:hAnsi="Poppins" w:cs="Poppins"/>
          <w:color w:val="21368B"/>
          <w:sz w:val="23"/>
          <w:szCs w:val="23"/>
        </w:rPr>
        <w:t> </w:t>
      </w:r>
    </w:p>
    <w:p w14:paraId="6F7C91F9" w14:textId="77777777" w:rsidR="001F3755" w:rsidRDefault="001F3755" w:rsidP="001F3755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Poważne choroby (np. nowotwór złośliwy)</w:t>
      </w:r>
    </w:p>
    <w:p w14:paraId="18F8E7B5" w14:textId="77777777" w:rsidR="001F3755" w:rsidRDefault="001F3755" w:rsidP="001F3755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Możliwość zastosowania zniżki </w:t>
      </w:r>
      <w:r>
        <w:rPr>
          <w:rFonts w:ascii="Poppins" w:eastAsia="Times New Roman" w:hAnsi="Poppins" w:cs="Poppins"/>
          <w:b/>
          <w:bCs/>
          <w:color w:val="21368B"/>
          <w:sz w:val="23"/>
          <w:szCs w:val="23"/>
        </w:rPr>
        <w:t>do 10% </w:t>
      </w:r>
      <w:r>
        <w:rPr>
          <w:rFonts w:ascii="Poppins" w:eastAsia="Times New Roman" w:hAnsi="Poppins" w:cs="Poppins"/>
          <w:color w:val="21368B"/>
          <w:sz w:val="23"/>
          <w:szCs w:val="23"/>
        </w:rPr>
        <w:t>dla  osób w trudnej sytuacji życiowej</w:t>
      </w:r>
    </w:p>
    <w:p w14:paraId="1FDDD41C" w14:textId="77777777" w:rsidR="001F3755" w:rsidRDefault="001F3755" w:rsidP="001F3755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Pakiet HEJT STOP - mówimy nie cyberprzemocy</w:t>
      </w:r>
    </w:p>
    <w:p w14:paraId="1C1F0958" w14:textId="77777777" w:rsidR="001F3755" w:rsidRDefault="001F3755" w:rsidP="001F3755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Zakupu polisy można dokonać w </w:t>
      </w:r>
      <w:r>
        <w:rPr>
          <w:rFonts w:ascii="Poppins" w:eastAsia="Times New Roman" w:hAnsi="Poppins" w:cs="Poppins"/>
          <w:b/>
          <w:bCs/>
          <w:color w:val="21368B"/>
          <w:sz w:val="23"/>
          <w:szCs w:val="23"/>
        </w:rPr>
        <w:t>szkole</w:t>
      </w:r>
      <w:r>
        <w:rPr>
          <w:rFonts w:ascii="Poppins" w:eastAsia="Times New Roman" w:hAnsi="Poppins" w:cs="Poppins"/>
          <w:color w:val="21368B"/>
          <w:sz w:val="23"/>
          <w:szCs w:val="23"/>
        </w:rPr>
        <w:t> oraz </w:t>
      </w:r>
      <w:r>
        <w:rPr>
          <w:rFonts w:ascii="Poppins" w:eastAsia="Times New Roman" w:hAnsi="Poppins" w:cs="Poppins"/>
          <w:b/>
          <w:bCs/>
          <w:color w:val="21368B"/>
          <w:sz w:val="23"/>
          <w:szCs w:val="23"/>
        </w:rPr>
        <w:t>on-line</w:t>
      </w:r>
    </w:p>
    <w:p w14:paraId="6DB64045" w14:textId="77777777" w:rsidR="001F3755" w:rsidRDefault="001F3755" w:rsidP="001F3755">
      <w:pPr>
        <w:rPr>
          <w:rFonts w:ascii="Roboto" w:eastAsia="Times New Roman" w:hAnsi="Roboto"/>
          <w:color w:val="000000"/>
          <w:sz w:val="27"/>
          <w:szCs w:val="27"/>
        </w:rPr>
      </w:pPr>
      <w:r>
        <w:rPr>
          <w:rFonts w:ascii="Roboto" w:eastAsia="Times New Roman" w:hAnsi="Roboto"/>
          <w:color w:val="000000"/>
          <w:sz w:val="27"/>
          <w:szCs w:val="27"/>
        </w:rPr>
        <w:t>  </w:t>
      </w:r>
    </w:p>
    <w:p w14:paraId="03CC85F7" w14:textId="77777777" w:rsidR="001F3755" w:rsidRDefault="001F3755" w:rsidP="001F3755">
      <w:pPr>
        <w:rPr>
          <w:rFonts w:ascii="Roboto" w:eastAsia="Times New Roman" w:hAnsi="Roboto"/>
          <w:color w:val="000000"/>
          <w:sz w:val="27"/>
          <w:szCs w:val="27"/>
        </w:rPr>
      </w:pPr>
    </w:p>
    <w:p w14:paraId="583C019D" w14:textId="77777777" w:rsidR="001F3755" w:rsidRDefault="001F3755" w:rsidP="001F3755">
      <w:pPr>
        <w:pStyle w:val="Nagwek2"/>
        <w:pBdr>
          <w:bottom w:val="single" w:sz="12" w:space="0" w:color="21368B"/>
        </w:pBdr>
        <w:spacing w:before="0" w:beforeAutospacing="0" w:line="312" w:lineRule="atLeast"/>
        <w:rPr>
          <w:rFonts w:ascii="Poppins" w:eastAsia="Times New Roman" w:hAnsi="Poppins" w:cs="Poppins"/>
          <w:color w:val="21368B"/>
          <w:sz w:val="45"/>
          <w:szCs w:val="45"/>
        </w:rPr>
      </w:pPr>
    </w:p>
    <w:p w14:paraId="1116B64F" w14:textId="77777777" w:rsidR="001F3755" w:rsidRDefault="001F3755" w:rsidP="001F3755">
      <w:pPr>
        <w:pStyle w:val="Nagwek2"/>
        <w:pBdr>
          <w:bottom w:val="single" w:sz="12" w:space="0" w:color="21368B"/>
        </w:pBdr>
        <w:spacing w:before="0" w:beforeAutospacing="0" w:line="312" w:lineRule="atLeast"/>
        <w:rPr>
          <w:rFonts w:ascii="Poppins" w:eastAsia="Times New Roman" w:hAnsi="Poppins" w:cs="Poppins"/>
          <w:color w:val="21368B"/>
          <w:sz w:val="45"/>
          <w:szCs w:val="45"/>
        </w:rPr>
      </w:pPr>
      <w:r>
        <w:rPr>
          <w:rFonts w:ascii="Poppins" w:eastAsia="Times New Roman" w:hAnsi="Poppins" w:cs="Poppins"/>
          <w:color w:val="21368B"/>
          <w:sz w:val="45"/>
          <w:szCs w:val="45"/>
        </w:rPr>
        <w:t>Oferta TUZ Ubezpieczenia</w:t>
      </w:r>
    </w:p>
    <w:p w14:paraId="2F5CB91C" w14:textId="77777777" w:rsidR="001F3755" w:rsidRDefault="001F3755" w:rsidP="001F3755">
      <w:pPr>
        <w:pStyle w:val="Nagwek2"/>
        <w:pBdr>
          <w:bottom w:val="single" w:sz="12" w:space="0" w:color="21368B"/>
        </w:pBdr>
        <w:spacing w:before="0" w:beforeAutospacing="0" w:line="312" w:lineRule="atLeast"/>
        <w:rPr>
          <w:rFonts w:ascii="Poppins" w:eastAsia="Times New Roman" w:hAnsi="Poppins" w:cs="Poppins"/>
          <w:color w:val="21368B"/>
          <w:sz w:val="45"/>
          <w:szCs w:val="45"/>
        </w:rPr>
      </w:pPr>
      <w:r>
        <w:rPr>
          <w:rFonts w:ascii="Poppins" w:eastAsia="Times New Roman" w:hAnsi="Poppins" w:cs="Poppins"/>
          <w:color w:val="21368B"/>
          <w:sz w:val="45"/>
          <w:szCs w:val="45"/>
        </w:rPr>
        <w:t>"Bezpieczna Nauka"</w:t>
      </w:r>
    </w:p>
    <w:p w14:paraId="13363ACB" w14:textId="77777777" w:rsidR="001F3755" w:rsidRDefault="001F3755" w:rsidP="001F3755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Wypłata odszkodowania  nawet do </w:t>
      </w:r>
      <w:r>
        <w:rPr>
          <w:rFonts w:ascii="Poppins" w:eastAsia="Times New Roman" w:hAnsi="Poppins" w:cs="Poppins"/>
          <w:b/>
          <w:bCs/>
          <w:color w:val="21368B"/>
          <w:sz w:val="23"/>
          <w:szCs w:val="23"/>
        </w:rPr>
        <w:t>300 000 zł</w:t>
      </w:r>
    </w:p>
    <w:p w14:paraId="227A4C7F" w14:textId="77777777" w:rsidR="001F3755" w:rsidRDefault="001F3755" w:rsidP="001F3755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Dodatkowe </w:t>
      </w:r>
      <w:r>
        <w:rPr>
          <w:rFonts w:ascii="Poppins" w:eastAsia="Times New Roman" w:hAnsi="Poppins" w:cs="Poppins"/>
          <w:b/>
          <w:bCs/>
          <w:color w:val="21368B"/>
          <w:sz w:val="23"/>
          <w:szCs w:val="23"/>
        </w:rPr>
        <w:t>10% SU</w:t>
      </w:r>
      <w:r>
        <w:rPr>
          <w:rFonts w:ascii="Poppins" w:eastAsia="Times New Roman" w:hAnsi="Poppins" w:cs="Poppins"/>
          <w:color w:val="21368B"/>
          <w:sz w:val="23"/>
          <w:szCs w:val="23"/>
        </w:rPr>
        <w:t> w przypadku zawarcia ubezpieczenia grupowego</w:t>
      </w:r>
    </w:p>
    <w:p w14:paraId="48D57A4E" w14:textId="77777777" w:rsidR="001F3755" w:rsidRDefault="001F3755" w:rsidP="001F3755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Możliwość zwolnienia grupy do </w:t>
      </w:r>
      <w:r>
        <w:rPr>
          <w:rFonts w:ascii="Poppins" w:eastAsia="Times New Roman" w:hAnsi="Poppins" w:cs="Poppins"/>
          <w:b/>
          <w:bCs/>
          <w:color w:val="21368B"/>
          <w:sz w:val="23"/>
          <w:szCs w:val="23"/>
        </w:rPr>
        <w:t>10%</w:t>
      </w:r>
      <w:r>
        <w:rPr>
          <w:rFonts w:ascii="Poppins" w:eastAsia="Times New Roman" w:hAnsi="Poppins" w:cs="Poppins"/>
          <w:color w:val="21368B"/>
          <w:sz w:val="23"/>
          <w:szCs w:val="23"/>
        </w:rPr>
        <w:t> uczniów z opłacenia składki</w:t>
      </w:r>
    </w:p>
    <w:p w14:paraId="40C1D7D4" w14:textId="77777777" w:rsidR="001F3755" w:rsidRDefault="001F3755" w:rsidP="001F3755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Zwrot kosztów rehabilitacji nawet do </w:t>
      </w:r>
      <w:r>
        <w:rPr>
          <w:rFonts w:ascii="Poppins" w:eastAsia="Times New Roman" w:hAnsi="Poppins" w:cs="Poppins"/>
          <w:b/>
          <w:bCs/>
          <w:color w:val="21368B"/>
          <w:sz w:val="23"/>
          <w:szCs w:val="23"/>
        </w:rPr>
        <w:t>8 000 zł</w:t>
      </w:r>
    </w:p>
    <w:p w14:paraId="6781C385" w14:textId="77777777" w:rsidR="001F3755" w:rsidRDefault="001F3755" w:rsidP="001F3755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Pobyt w szpitalu w wyniku NW i choroby</w:t>
      </w:r>
    </w:p>
    <w:p w14:paraId="7836A78B" w14:textId="77777777" w:rsidR="001F3755" w:rsidRDefault="001F3755" w:rsidP="001F3755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b/>
          <w:bCs/>
          <w:color w:val="21368B"/>
          <w:sz w:val="23"/>
          <w:szCs w:val="23"/>
        </w:rPr>
        <w:lastRenderedPageBreak/>
        <w:t>Świadczenie bólowe w wysokości 500 zł niezależnie od wariantu ubezpieczenia</w:t>
      </w:r>
      <w:r>
        <w:rPr>
          <w:rFonts w:ascii="Poppins" w:eastAsia="Times New Roman" w:hAnsi="Poppins" w:cs="Poppins"/>
          <w:color w:val="21368B"/>
          <w:sz w:val="23"/>
          <w:szCs w:val="23"/>
        </w:rPr>
        <w:t> </w:t>
      </w:r>
    </w:p>
    <w:p w14:paraId="63C684B7" w14:textId="77777777" w:rsidR="001F3755" w:rsidRDefault="001F3755" w:rsidP="001F3755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Ugryzienie przez </w:t>
      </w:r>
      <w:r>
        <w:rPr>
          <w:rFonts w:ascii="Poppins" w:eastAsia="Times New Roman" w:hAnsi="Poppins" w:cs="Poppins"/>
          <w:b/>
          <w:bCs/>
          <w:color w:val="21368B"/>
          <w:sz w:val="23"/>
          <w:szCs w:val="23"/>
        </w:rPr>
        <w:t>kleszcza</w:t>
      </w:r>
    </w:p>
    <w:p w14:paraId="51DE5F2F" w14:textId="77777777" w:rsidR="001F3755" w:rsidRDefault="001F3755" w:rsidP="001F3755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Wyczynowe uprawianie sportu (również poza szkołą), np. </w:t>
      </w:r>
      <w:r>
        <w:rPr>
          <w:rFonts w:ascii="Poppins" w:eastAsia="Times New Roman" w:hAnsi="Poppins" w:cs="Poppins"/>
          <w:b/>
          <w:bCs/>
          <w:color w:val="21368B"/>
          <w:sz w:val="23"/>
          <w:szCs w:val="23"/>
        </w:rPr>
        <w:t>jazda konna, piłka nożna, pływanie</w:t>
      </w:r>
    </w:p>
    <w:p w14:paraId="5AF66DD5" w14:textId="77777777" w:rsidR="001F3755" w:rsidRDefault="001F3755" w:rsidP="001F3755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Wysoki zwrot kosztów leczenia poniesionych w wyniku NW</w:t>
      </w:r>
    </w:p>
    <w:p w14:paraId="3AE06377" w14:textId="77777777" w:rsidR="001F3755" w:rsidRDefault="001F3755" w:rsidP="001F3755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Zwrot kosztów zakupu lub naprawy okularów uszkodzonych w wyniku NW</w:t>
      </w:r>
    </w:p>
    <w:p w14:paraId="4D5492F6" w14:textId="77777777" w:rsidR="001F3755" w:rsidRDefault="001F3755" w:rsidP="001F3755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Operacje w wyniku NW</w:t>
      </w:r>
    </w:p>
    <w:p w14:paraId="4096D330" w14:textId="77777777" w:rsidR="001F3755" w:rsidRDefault="001F3755" w:rsidP="001F3755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Rany będące następstwem nieszczęśliwego wypadku</w:t>
      </w:r>
    </w:p>
    <w:p w14:paraId="7530C0E2" w14:textId="77777777" w:rsidR="001F3755" w:rsidRDefault="001F3755" w:rsidP="001F3755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Poppins" w:eastAsia="Times New Roman" w:hAnsi="Poppins" w:cs="Poppins"/>
          <w:color w:val="21368B"/>
          <w:sz w:val="23"/>
          <w:szCs w:val="23"/>
        </w:rPr>
      </w:pPr>
      <w:r>
        <w:rPr>
          <w:rFonts w:ascii="Poppins" w:eastAsia="Times New Roman" w:hAnsi="Poppins" w:cs="Poppins"/>
          <w:color w:val="21368B"/>
          <w:sz w:val="23"/>
          <w:szCs w:val="23"/>
        </w:rPr>
        <w:t>Zakupu polisy można dokonać w </w:t>
      </w:r>
      <w:r>
        <w:rPr>
          <w:rFonts w:ascii="Poppins" w:eastAsia="Times New Roman" w:hAnsi="Poppins" w:cs="Poppins"/>
          <w:b/>
          <w:bCs/>
          <w:color w:val="21368B"/>
          <w:sz w:val="23"/>
          <w:szCs w:val="23"/>
        </w:rPr>
        <w:t>szkole</w:t>
      </w:r>
      <w:r>
        <w:rPr>
          <w:rFonts w:ascii="Poppins" w:eastAsia="Times New Roman" w:hAnsi="Poppins" w:cs="Poppins"/>
          <w:color w:val="21368B"/>
          <w:sz w:val="23"/>
          <w:szCs w:val="23"/>
        </w:rPr>
        <w:t> oraz </w:t>
      </w:r>
      <w:r>
        <w:rPr>
          <w:rFonts w:ascii="Poppins" w:eastAsia="Times New Roman" w:hAnsi="Poppins" w:cs="Poppins"/>
          <w:b/>
          <w:bCs/>
          <w:color w:val="21368B"/>
          <w:sz w:val="23"/>
          <w:szCs w:val="23"/>
        </w:rPr>
        <w:t>on-line</w:t>
      </w:r>
    </w:p>
    <w:p w14:paraId="6A64A63E" w14:textId="77777777" w:rsidR="001F3755" w:rsidRDefault="001F3755" w:rsidP="001F3755">
      <w:pPr>
        <w:rPr>
          <w:rFonts w:ascii="Roboto" w:eastAsia="Times New Roman" w:hAnsi="Roboto"/>
          <w:color w:val="000000"/>
          <w:sz w:val="27"/>
          <w:szCs w:val="27"/>
        </w:rPr>
      </w:pPr>
    </w:p>
    <w:p w14:paraId="324A9A60" w14:textId="77777777" w:rsidR="001F3755" w:rsidRDefault="001F3755" w:rsidP="001F3755">
      <w:pPr>
        <w:rPr>
          <w:rFonts w:ascii="Roboto" w:eastAsia="Times New Roman" w:hAnsi="Roboto"/>
          <w:color w:val="000000"/>
          <w:sz w:val="27"/>
          <w:szCs w:val="27"/>
        </w:rPr>
      </w:pPr>
    </w:p>
    <w:tbl>
      <w:tblPr>
        <w:tblW w:w="7872" w:type="dxa"/>
        <w:tblCellSpacing w:w="15" w:type="dxa"/>
        <w:tblLook w:val="04A0" w:firstRow="1" w:lastRow="0" w:firstColumn="1" w:lastColumn="0" w:noHBand="0" w:noVBand="1"/>
      </w:tblPr>
      <w:tblGrid>
        <w:gridCol w:w="3919"/>
        <w:gridCol w:w="3953"/>
      </w:tblGrid>
      <w:tr w:rsidR="001F3755" w14:paraId="7AD06BC4" w14:textId="77777777" w:rsidTr="001F3755">
        <w:trPr>
          <w:tblCellSpacing w:w="15" w:type="dxa"/>
        </w:trPr>
        <w:tc>
          <w:tcPr>
            <w:tcW w:w="3435" w:type="dxa"/>
            <w:tcBorders>
              <w:top w:val="nil"/>
              <w:left w:val="nil"/>
              <w:bottom w:val="nil"/>
              <w:right w:val="single" w:sz="12" w:space="0" w:color="21368B"/>
            </w:tcBorders>
            <w:tcMar>
              <w:top w:w="15" w:type="dxa"/>
              <w:left w:w="15" w:type="dxa"/>
              <w:bottom w:w="15" w:type="dxa"/>
              <w:right w:w="420" w:type="dxa"/>
            </w:tcMar>
            <w:hideMark/>
          </w:tcPr>
          <w:p w14:paraId="73112665" w14:textId="77777777" w:rsidR="001F3755" w:rsidRDefault="001F3755">
            <w:pPr>
              <w:rPr>
                <w:rFonts w:eastAsia="Times New Roman"/>
              </w:rPr>
            </w:pPr>
            <w:r>
              <w:rPr>
                <w:rFonts w:ascii="Poppins" w:eastAsia="Times New Roman" w:hAnsi="Poppins" w:cs="Poppins"/>
                <w:color w:val="21368B"/>
                <w:sz w:val="23"/>
                <w:szCs w:val="23"/>
              </w:rPr>
              <w:br/>
              <w:t>Mamy nadzieję, że oferta spotka się z Państwa zainteresowaniem.</w:t>
            </w:r>
            <w:r>
              <w:rPr>
                <w:rFonts w:ascii="Poppins" w:eastAsia="Times New Roman" w:hAnsi="Poppins" w:cs="Poppins"/>
                <w:color w:val="21368B"/>
                <w:sz w:val="18"/>
                <w:szCs w:val="18"/>
              </w:rPr>
              <w:br/>
            </w:r>
            <w:r>
              <w:rPr>
                <w:rFonts w:ascii="Poppins" w:eastAsia="Times New Roman" w:hAnsi="Poppins" w:cs="Poppins"/>
                <w:color w:val="21368B"/>
                <w:sz w:val="18"/>
                <w:szCs w:val="18"/>
              </w:rPr>
              <w:br/>
              <w:t>(Materiał ma charakter marketingowy, nie stanowi oferty w rozumieniu art. 66 Kodeksu Cywilnego)</w:t>
            </w:r>
          </w:p>
        </w:tc>
        <w:tc>
          <w:tcPr>
            <w:tcW w:w="3465" w:type="dxa"/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14:paraId="73FAE281" w14:textId="77777777" w:rsidR="001F3755" w:rsidRDefault="001F3755">
            <w:pPr>
              <w:rPr>
                <w:rFonts w:eastAsia="Times New Roman"/>
              </w:rPr>
            </w:pPr>
            <w:r>
              <w:rPr>
                <w:rFonts w:ascii="Poppins" w:eastAsia="Times New Roman" w:hAnsi="Poppins" w:cs="Poppins"/>
                <w:b/>
                <w:bCs/>
                <w:color w:val="ED1C24"/>
                <w:sz w:val="27"/>
                <w:szCs w:val="27"/>
              </w:rPr>
              <w:br/>
              <w:t>PROSZĘ O PRZEKAZANIE OFERT RADZIE RODZICÓW W PAŃSTWA PLACÓWCE, BĄDŹ OSOBOM DECYZYJNYM.</w:t>
            </w:r>
          </w:p>
        </w:tc>
      </w:tr>
    </w:tbl>
    <w:p w14:paraId="28C3369D" w14:textId="77777777" w:rsidR="001F3755" w:rsidRDefault="001F3755" w:rsidP="001F3755">
      <w:pPr>
        <w:rPr>
          <w:rFonts w:ascii="Roboto" w:eastAsia="Times New Roman" w:hAnsi="Roboto"/>
          <w:color w:val="000000"/>
          <w:sz w:val="27"/>
          <w:szCs w:val="27"/>
        </w:rPr>
      </w:pPr>
    </w:p>
    <w:p w14:paraId="6412FAFA" w14:textId="77777777" w:rsidR="001F3755" w:rsidRDefault="001F3755" w:rsidP="001F3755">
      <w:pPr>
        <w:rPr>
          <w:rFonts w:ascii="Roboto" w:eastAsia="Times New Roman" w:hAnsi="Roboto"/>
          <w:color w:val="000000"/>
          <w:sz w:val="27"/>
          <w:szCs w:val="27"/>
        </w:rPr>
      </w:pPr>
    </w:p>
    <w:tbl>
      <w:tblPr>
        <w:tblW w:w="7902" w:type="dxa"/>
        <w:tblCellSpacing w:w="15" w:type="dxa"/>
        <w:tblLook w:val="04A0" w:firstRow="1" w:lastRow="0" w:firstColumn="1" w:lastColumn="0" w:noHBand="0" w:noVBand="1"/>
      </w:tblPr>
      <w:tblGrid>
        <w:gridCol w:w="7902"/>
      </w:tblGrid>
      <w:tr w:rsidR="001F3755" w14:paraId="47B4F7E3" w14:textId="77777777" w:rsidTr="001F3755">
        <w:trPr>
          <w:tblCellSpacing w:w="15" w:type="dxa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12" w:space="0" w:color="21368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44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522"/>
              <w:gridCol w:w="2017"/>
              <w:gridCol w:w="507"/>
              <w:gridCol w:w="2399"/>
            </w:tblGrid>
            <w:tr w:rsidR="001F3755" w14:paraId="11BC8870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14:paraId="47332FC6" w14:textId="77777777" w:rsidR="001F3755" w:rsidRDefault="001F3755">
                  <w:pPr>
                    <w:spacing w:line="240" w:lineRule="atLeast"/>
                    <w:rPr>
                      <w:rFonts w:ascii="Poppins" w:eastAsia="Times New Roman" w:hAnsi="Poppins" w:cs="Poppins"/>
                      <w:color w:val="21368B"/>
                      <w:sz w:val="42"/>
                      <w:szCs w:val="42"/>
                    </w:rPr>
                  </w:pPr>
                  <w:r>
                    <w:rPr>
                      <w:rFonts w:ascii="Poppins" w:eastAsia="Times New Roman" w:hAnsi="Poppins" w:cs="Poppins"/>
                      <w:b/>
                      <w:bCs/>
                      <w:color w:val="21368B"/>
                      <w:sz w:val="42"/>
                      <w:szCs w:val="42"/>
                    </w:rPr>
                    <w:t>Skontaktuj się z nami:</w:t>
                  </w:r>
                </w:p>
              </w:tc>
            </w:tr>
            <w:tr w:rsidR="001F3755" w14:paraId="7CFCD584" w14:textId="77777777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CAEB6F" w14:textId="77777777" w:rsidR="001F3755" w:rsidRDefault="001F3755">
                  <w:pPr>
                    <w:spacing w:line="1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single" w:sz="12" w:space="0" w:color="21368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B6C462" w14:textId="77777777" w:rsidR="001F3755" w:rsidRDefault="001F3755">
                  <w:pPr>
                    <w:spacing w:line="240" w:lineRule="atLeast"/>
                    <w:rPr>
                      <w:rFonts w:ascii="Poppins" w:eastAsia="Times New Roman" w:hAnsi="Poppins" w:cs="Poppins"/>
                      <w:color w:val="21368B"/>
                      <w:sz w:val="27"/>
                      <w:szCs w:val="27"/>
                    </w:rPr>
                  </w:pPr>
                  <w:r>
                    <w:rPr>
                      <w:rFonts w:ascii="Poppins" w:eastAsia="Times New Roman" w:hAnsi="Poppins" w:cs="Poppins"/>
                      <w:b/>
                      <w:bCs/>
                      <w:color w:val="21368B"/>
                      <w:sz w:val="27"/>
                      <w:szCs w:val="27"/>
                    </w:rPr>
                    <w:t>730 952 198</w:t>
                  </w:r>
                </w:p>
              </w:tc>
              <w:tc>
                <w:tcPr>
                  <w:tcW w:w="450" w:type="dxa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14:paraId="5D98D33E" w14:textId="77777777" w:rsidR="001F3755" w:rsidRDefault="001F3755">
                  <w:pPr>
                    <w:spacing w:line="1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ECE43D" w14:textId="77777777" w:rsidR="001F3755" w:rsidRDefault="001F3755">
                  <w:pPr>
                    <w:spacing w:line="240" w:lineRule="atLeast"/>
                    <w:rPr>
                      <w:rFonts w:ascii="Poppins" w:eastAsia="Times New Roman" w:hAnsi="Poppins" w:cs="Poppins"/>
                      <w:color w:val="21368B"/>
                      <w:sz w:val="27"/>
                      <w:szCs w:val="27"/>
                    </w:rPr>
                  </w:pPr>
                  <w:r>
                    <w:rPr>
                      <w:rFonts w:ascii="Poppins" w:eastAsia="Times New Roman" w:hAnsi="Poppins" w:cs="Poppins"/>
                      <w:b/>
                      <w:bCs/>
                      <w:color w:val="21368B"/>
                      <w:sz w:val="27"/>
                      <w:szCs w:val="27"/>
                    </w:rPr>
                    <w:t>663 152 604</w:t>
                  </w:r>
                </w:p>
              </w:tc>
            </w:tr>
            <w:tr w:rsidR="001F3755" w14:paraId="7C32EEFF" w14:textId="77777777">
              <w:trPr>
                <w:tblCellSpacing w:w="15" w:type="dxa"/>
              </w:trPr>
              <w:tc>
                <w:tcPr>
                  <w:tcW w:w="450" w:type="dxa"/>
                  <w:tcMar>
                    <w:top w:w="12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983599" w14:textId="77777777" w:rsidR="001F3755" w:rsidRDefault="001F3755">
                  <w:pPr>
                    <w:spacing w:line="1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Mar>
                    <w:top w:w="12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4CDFD0" w14:textId="77777777" w:rsidR="001F3755" w:rsidRDefault="001F3755">
                  <w:pPr>
                    <w:rPr>
                      <w:rFonts w:eastAsia="Times New Roman"/>
                    </w:rPr>
                  </w:pPr>
                  <w:hyperlink r:id="rId5" w:tgtFrame="_blank" w:history="1">
                    <w:r>
                      <w:rPr>
                        <w:rStyle w:val="Hipercze"/>
                        <w:rFonts w:eastAsia="Times New Roman"/>
                        <w:b/>
                        <w:bCs/>
                      </w:rPr>
                      <w:t>multiagencja.ers@vp.pl</w:t>
                    </w:r>
                  </w:hyperlink>
                </w:p>
              </w:tc>
            </w:tr>
          </w:tbl>
          <w:p w14:paraId="4907B4EE" w14:textId="77777777" w:rsidR="001F3755" w:rsidRDefault="001F3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5A37B4" w14:textId="77777777" w:rsidR="001F3755" w:rsidRDefault="001F3755"/>
    <w:sectPr w:rsidR="001F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F06"/>
    <w:multiLevelType w:val="multilevel"/>
    <w:tmpl w:val="E356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22EB4"/>
    <w:multiLevelType w:val="multilevel"/>
    <w:tmpl w:val="D4A2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92123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779120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55"/>
    <w:rsid w:val="001F3755"/>
    <w:rsid w:val="0091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116B"/>
  <w15:chartTrackingRefBased/>
  <w15:docId w15:val="{F9D74F01-24EF-45BC-B533-3951217E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755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F37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755"/>
    <w:rPr>
      <w:rFonts w:ascii="Calibri" w:hAnsi="Calibri" w:cs="Calibri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onet.pl/NowaWiadomosc/Do/QlIkBFQ6QUFhIVRZX192dnQBeCtCchE1BgguKlJCQU09DRJKA0FHF1JUBQNKFgpGX19WVjUTBgddUwsWQUoDQlQnBFFKCQY%2FMFBZUVY9JyxFZQ8VMwZsQxIqbUNJARFsQkQgQw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</dc:creator>
  <cp:keywords/>
  <dc:description/>
  <cp:lastModifiedBy>Dorota Nowak</cp:lastModifiedBy>
  <cp:revision>1</cp:revision>
  <dcterms:created xsi:type="dcterms:W3CDTF">2022-08-23T07:25:00Z</dcterms:created>
  <dcterms:modified xsi:type="dcterms:W3CDTF">2022-08-23T07:26:00Z</dcterms:modified>
</cp:coreProperties>
</file>